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492"/>
        <w:gridCol w:w="1913"/>
        <w:gridCol w:w="2361"/>
        <w:gridCol w:w="1561"/>
        <w:gridCol w:w="2535"/>
        <w:gridCol w:w="1735"/>
        <w:gridCol w:w="1561"/>
      </w:tblGrid>
      <w:tr w:rsidR="001707F1" w:rsidRPr="00351160" w:rsidTr="00F46BC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F46BC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B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F46B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="00F46B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дом 47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рациональное использование тепловой энергии; 2) экономия потребления тепловой энергии в системе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снижение утечек тепла через  окна подъездов; 2) рациональное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тепловой энергии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трубопроводов и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46BC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46BC5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2016-02-15T10:11:00Z</dcterms:modified>
</cp:coreProperties>
</file>