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AD0B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AD0B6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D0B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proofErr w:type="spellStart"/>
            <w:r w:rsidR="00AD0B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="00AD0B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Тараканова 45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AD0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D0B6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AD0B6D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2016-02-21T10:08:00Z</dcterms:modified>
</cp:coreProperties>
</file>